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6 августа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ООО «Единая транспортная компания» обратилось в Арбитражный суд Белгородской области с иском о взыскании с ИП ФИО1 250 000 рублей убытков. К участию в деле в качестве третьих лиц, не заявляющих самостоятельных требований относительно предмета спора, привлечены ФИО2, Юго-Восточное межрегиональное управление государственного автодорожного надзора Центрального федерального округа, Департамент городского хозяйства Администрации города Белгорода. Решением Арбитражного суда Белгородской области от 21.12.2023 в удовлетворении иска отказано. Постановлением Девятнадцатого арбитражного апелляционного суда от 14.03.2024 решение суда первой инстанции отменено, иск удовлетворен. Арбитражный суд Центрального округа постановлением от 23.05.2024 постановление суда апелляционной инстанции оставил без изменения. ИП ФИО1 обратился в Судебную коллегию Верховного Суда Российской Федерации с кассационной жалобой на принятые по делу постановления суда апелляционной инстанции и суда округа,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Оценив представленные доказательства в их совокупности и взаимной связи по правилам статей 65 , 71 Арбитражного процессуального кодекса Российской Федерации, квалифицировав правоотношения сторон как вытекающие из договора перевозки, установив, что причинение вреда здоровью пассажира произошло по вине водителя, привлеченного ответчиком для оказания услуг, руководствуясь положениями статей 15 , 393 , 1064 , 1079 Гражданского кодекса Российской Федерации, разъяснениями, изложенными в постановлении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суд апелляционной инстанции пришел к выводу об обоснованности иска. Суд округа поддержал выводы суда апелляционной инстанции. Доводы, изложенные в кассационной жалобе, были предметом рассмотрения судов апелляционной и кассационной инстанций и мотивированно отклонены. Эти доводы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ООО "Единая транспортная компания" (подробнее) Иные лица: ГУ Отделение ПФР по Белгородской области (подробнее) Судьи дела: Зарубина Е.Н. (судья) Судебная практика по: Упущенная выгода Судебная практика по применению норм ст. 15, 393 ГК РФ Ответственность за причинение вреда, залив квартиры Судебная практика по применению нормы ст. 1064 ГК РФ Взыскание убытков Судебная практика по применению нормы ст. 393 ГК РФ Источник повышенной опасности Судебная практика по применению нормы ст. 1079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