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обратилась в Арбитражный суд Республики Башкортостан с иском, уточненным в порядке статьи 49 Арбитражного процессуального кодекса Российской Федерации, о взыскании с ООО ТЭК «Хорошая компания» 751 070 рублей 02 копеек убытков. К участию в деле в качестве третьего лица, не заявляющего самостоятельных требований относительно предмета спора, привлечено ООО «Максима». Решением Арбитражного суда Республики Башкортостан от 13.11.2023 иск удовлетворен в части взыскания 688 605 рублей 54 копеек. Постановлением Восемнадцатого арбитражного апелляционного суда от 25.01.2024 решение суда первой инстанции отменено, в удовлетворении иска отказано. Арбитражный суд Уральского округа постановлением от 24.05.2024 постановление суда апелляционной инстанции оставил без изменения. ИП ФИО1 обратилась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 апелляционной инстанции руководствовался статьями 195 , 196 , 199 , 200 ,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постановлении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и пришел к выводу о пропуске истцом срока исковой давности. Суд округа поддержал выводы суда апелляционной инстанции.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ТЭК Хорошая компания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