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жалобой на 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33341 настоящего Кодекса. Поскольку в обоснование ходатайства представлены документы, свидетельствующие об отсутствии возможности уплатить государственную пошлину по кассационной жалобе,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муниципального учреждения «Улан-Удэстройзаказчик» об отсрочке уплаты государственной пошлины за рассмотрение кассационной жалобы удовлетворить. Предоставить муниципальному учреждению «Улан-Удэстройзаказчик» отсрочку уплаты государственной пошлины до окончания производства по кассационной жалобе на постановление Четвертого арбитражного апелляционного суда от 23.01.2024 и постановление Арбитражного суда Восточно-Сибирского округа от 29.05.2024 по делу № А10-4221/2023.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