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Педана Кирилла Олеговича в Арбитражный суд Московской области обратился Данилов И.А. с жалобой на действия (бездействие) финансового управляющего Рязанцева Е.Е. и отстранении его от исполнения обязанностей финансового управляющего имуществом должника. Определением Арбитражного суда Московской области от 30.06.2023 в удовлетворении заявления отказано. Постановлением Десятого арбитражного апелляционного суда от 14.11.2023 определение суда первой инстанции оставлено без изменения. Арбитражный суд Московского округа постановлением от 03.04.2024 указанные судебные акты оставил без изменения. Данилов И.А. обратился в Судебную коллегию Верховного Суда Российской Федерации с кассационной жалобой на принятые по жалобе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жалобы, суды руководствовались положениями статей 20, 20.4, 60, 213.9 Федерального закона от 26.10.2002 № 127-ФЗ «О несостоятельности (банкротстве)» и исходили из отсутствия доказательств, свидетельствующих о ненадлежащем исполнении финансовым управляющим возложенных на него обязанностей, нарушении прав и законных интересов кредитора, не установив оснований для отстранения арбитражного управляющего от исполнения возложенных на него в деле о банкротстве должника обязанностей.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