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25.07.2024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порядка подачи первоначальной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«Агроком»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