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публично-правовая компания «Военно-строительная компания» (далее – компания, бенефициар) обратилась в Арбитражный суд города Москвы с иском к обществу с ограниченной ответственностью «ИКТ» (далее – общество, гарант) о взыскании основного долга по независимой гарантии от 14.07.2021 (далее – независимая гарантия) в размере 614 647 000 рублей. Решением Арбитражного суда города Москвы от 21.09.2023, оставленным без изменения постановлением Девятого арбитражного апелляционного суда от 06.12.2023, исковые требования удовлетворены. Арбитражный суд Московского округа постановлением от 19.03.2024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которых просит их отменить, в иске отказать. Письмом судьи Верховного Суда Российской Федерации от 08.07.2024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руководствуясь положениями статей 368 , 374 , 376 Гражданского кодекса Российской Федерации, суды пришли к выводу о наличии оснований для удовлетворения иска, признав, что требование бенефициара о платеже по независимой гарантии представлено гаранту своевременно, соответствует условиям независимой гарантии по форме и содержанию. Обжалуя судебные акты в Верховный Суд Российской Федерации, заявители приводят доводы, которые являлись предметом рассмотрения судов и получили правовую оценку с учетом установленных фактических обстоятельств дела, связанных с отсутствием у гаранта правовых оснований для отказа в выплате по независимой гарантии. Доводы, изложенные в кассационной жалобе,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Публично-правовая компания "Военно-строительная компания" (подробнее) Ответчики: ООО "ИКТ"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