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Решетникова Александра Геннадиевича в Арбитражный суд Республики Башкортостан обратился финансовый управляющий имуществом должника с заявлением о признании недействительными сделок должника по увеличению уставного капитала ООО «Гражданпроект-Мастерская 5» за счет внесения Мухаметгареевой А.Ф. дополнительного вклада и отчуждению доли в указанном обществе в пользу Шакирова Д.А. и Юлдашева В.В. Определением Арбитражного суда Республики Башкортостан от 27.11.2023, оставленным без изменения постановлением Восемнадцатого арбитражного апелляционного суда от 19.02.2024 и постановлением Арбитражного суда Уральского округа от 02.05.2024, решение единственного участника общества – должника от 09.03.2016 об увеличении уставного капитала общества за счет внесения Мухаметгареевой А.Ф. дополнительного вклада в размере 12 000 рублей и договор купли-продажи доли в уставном капитале общества от 04.07.2016, заключенный между должником и Юлдашевым В.В. и Шакировым Д.А., признаны недействительными сделками; 2 применены последствия недействительности сделок в виде прекращения права собственности Мухаметгареевой А.Ф. на 50% доли в уставном капитале ООО «Гражданпроект-Мастерская 5»; восстановления права собственности должника на 50% доли в уставном капитале общества; восстановления размера уставного капитала общества до 12 000 рублей; обязания общества возвратить Мухаметгареевой А.Ф. денежные средства в указанном размере, уплаченные в качестве вклада в уставной капитал; прекращения права собственности Юлдашева В.В. на 25% доли в уставном капитале общества; прекращения права собственности Шакирова Д.А. на 25% доли в уставном капитале общества; восстановления права собственности должника на 50% доли в уставном капитале общества. Мухаметгареева А.Ф. и Шакиров Д.А.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положениями статей 10, 170 Гражданского кодекса Российской Федерации и пришли к выводу о недействительности оспариваемых сделок, учитывая, что сделка об увеличении уставного капитала общества за счет внесения дополнительного вклада не является соразмерной действительной стоимости доли в уставном капитале общества и направлена на вывод имущественных активов должника из-под обращения на них взыскания по обязательствам должника, а также учитывая аффилированность сторон договора, не раскрытие ответчиками экономической цели приобретения доли, обстоятельств фактического осуществления корпоративных прав, оплаты по сделке, признав не пропущенным срок исковой давности.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