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обратилась ФИО1 (участник торгов) с заявлением о разрешении разногласий с финансовым управляющим и обязании его заключить договор купли-продажи 1/3 доли в квартире с победителем торгов. Определением Арбитражного суда Московской области от 01.11.2023 заявление удовлетворено. Постановлением Десятого арбитражного апелляционного суда от 18.12.2023 определение суда первой инстанции отменено, в удовлетворении заявления отказано. Арбитражный суд Московского округа постановлением от 12.04.2024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 апелляционной инстанции руководствовался статьями 60, 213.26 Федерального закона от 26.10.2002 № 127-ФЗ «О несостоятельности (банкротстве)», правовой позицией Конституционного Суда Российской Федерации, изложенной в постановлении от 16.05.2023 № 23-П, и, установив, что финансовый управляющий до проведения торгов надлежащего предложения о реализации преимущественного права покупки доли в жилом помещении другим участникам долевой собственности не направил, пришел выводу об отсутствии оснований для удовлетворения заявления. Суд округа поддержал выводы суда апелляционной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"МЕЖРЕГИОНАЛЬНАЯ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"Лига"" (подробнее) ИН СРО АУ "Северная сталица" (подробнее) ООО "Феникс" (подробнее) ПАО "МКБ" (подробнее) ПАО "Совкомбанк"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