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Саратовской области обратился финансовый управляющий его имуществом ФИО1 с заявлением об определении исполнительского иммунитета и исключении имущества (двух жилых помещений) из конкурсной массы. Определением Арбитражного суда Саратовской области от 26.12.2023, оставленным без изменения постановлением Двенадцатого арбитражного апелляционного суда от 06.02.2024 и постановлением Арбитражного суда Поволжского округа от 17.04.2024, установлен исполнительский иммунитет в отношении 1/3 доли в праве общей долевой собственности на жилое помещение с исключением из конкурсной массы должника; в удовлетворении заявления в остальной части отказано. Финансовый управляющий ФИО1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установлено, учитывая, что при определении помещения, в отношении которого предоставляется исполнительский иммунитет, судами учтены представленные доказательства о месте фактического проживания и регистрации должника и членов его семьи. Несогласие заявителя кассационной жалобы с произведенной судами оценкой обстоятельств спора не свидетельствует о неправильном применении судами норм материального и процессуального права, не подтверждает существенных нарушений норм права, повлиявших на исход дела, и не является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Арбитражный суд Поволжского округа (подробнее) МИФНС №20 по Саратовской области (подробнее) УФНС по Саратовской области (подробнее) Финансовый управляющий Лебедев А.Д.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