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Лузина А.В. в Арбитражный суд города Москвы обратился финансовый управляющий имуществом должника с заявлением о признании недействительным договора дарения недвижимого имущества от 09.04.2013 в пользу Лузиной И.И. (супруги должника) и применении последствий недействительности сделки. Определением Арбитражного суда города Москвы от 15.12.2023, оставленным без изменения постановлением Девятого арбитражного апелляционного суда от 13.02.2024 и постановлением Арбитражного суда Московского округа от 12.04.2024, признан недействительным договор дарения и применены последствия недействительности сделки в виде обязания Лузиной И.И. вернуть в собственность должника отчужденные нежилые помещения. Лузин А.В. и Лузина И.И.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Лузиной И.И. также представлено дополнение к кассационной жалобе.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и дополнения не установлено. Разрешая спор, суды руководствовались положениями Федерального закона от 26.10.2002 № 127-ФЗ «О несостоятельности (банкротстве)», статьями 10, 168, 170, 181 Гражданского кодекса Российской Федерации,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учитывая, что сделка совершена в период неплатежеспособности должника, безвозмездно, в отношении заинтересованного лица, в целях вывода ликвидного имущества, с целью причинения вреда кредиторам, признав не пропущенным срок исковой давности. Несогласие заявителей кассационных жалоб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