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Федяева Сергея Леонидовича в Арбитражный суд Московской области обратился Сюрченко Владимир Николаевич с заявлением о включении требования в размере 12 241 624 рублей 78 копеек в третью очередь реестра требований кредиторов должника. Определением Арбитражного суда Московской области от 10.11.2023 требование Сюрченко В.Н. признано обоснованным и включено в третью очередь реестра требований кредиторов должника. Постановлением Десятого арбитражного апелляционного суда от 17.01.2024 определение суда первой инстанции оставлено без изменения. Арбитражный суд Московского округа постановлением от 26.03.2024 указанные судебные акты оставил без изменения. АО «НПК «Дедал»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16, 69 Арбитражного процессуального кодекса Российской Федерации, статьями 16, 71, 100 Федерального закона от 26.10.2002 № 127-ФЗ «О несостоятельности (банкротстве)» и, установив основание возникновения задолженности, подтвержденной вступившим в законную силу судебным актом суда общей юрисдикции, отсутствие доказательств ее погашения, признали заявленное требование обоснованным и подлежащим включению в реестр требований кредиторов третьей очереди.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