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Гаджиева Г.Н. в Арбитражный суд города Москвы обратился должник с ходатайством об определении порядка реализации имущества. Определением Арбитражного суда города Москвы от 11.12.2023 определен порядок реализации имущества должника после расчетов с конкурсными кредиторами в делах о банкротстве ООО «Интеллект Дриллинг Сервисиз», ООО «Ай Ди Эс Менеджмент», ООО «МТК», ООО «Ай Ди Эс Навигатор», ООО «Трансмил», ООО «Ай Ди Эс Дриллинг», ООО «НУБР». Постановлением Девятого арбитражного апелляционного суда от 13.02.2024 определение суда первой инстанции отменено, в удовлетворении ходатайства должника отказано. Арбитражный суд Московского округа постановлением от 30.05.2024 оставил без изменения постановление суда апелляционной инстанции. Гаджиев Г.Н.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апелляционной инстанции, с выводом которого согласился окружной суд, исходил из того, что предложенный должником порядок реализации его имущества не соответствует положениям Федерального закона от 26.10.2002 № 127-ФЗ «О несостоятельности (банкротстве)».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