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процедуре реструктуризации долгов Цой Рузанны Геннадьевны финансовым управляющим представлен отчет о своей деятельности с ходатайством о признании должника банкротом и введении процедуры реализации имущества должника. Решением Арбитражного суда города Москвы от 05.07.2023, оставленным без изменения постановлением Девятого арбитражного апелляционного суда от 01.11.2023 и постановлением Арбитражного суда Московского округа от 29.03.2024, Цой Р.Г. признана несостоятельной (банкротом), в отношении нее введена процедура реализации имущества. Мануйлова Л.М.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Принимая решение о признании должника банкротом и введении процедуры реализации имущества гражданина, суды, оценив представленные доказательства по правилам статьи 71 Арбитражного процессуального кодекса Российской Федерации, руководствовались статьями 213.12, 213.14, 213.15 Федерального закона от 26.10.2002 № 127-ФЗ «О несостоятельности (банкротстве)» и исходили из того, что должник имеет предусмотренные Федеральным законом «О несостоятельности (банкротстве)» признаки банкротства, доходов для погашения требований кредиторов не имеется, возможность погашения должником задолженности в ходе процедуры реструктуризации долгов отсутствует, проект плана реструктуризации долгов не представлен. Доводы заявителя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