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Русиновой Т.А. в Арбитражный суд Пензенской области обратилась должник с заявлением об исключении из конкурсной массы имущества – автомобиля. Определением Арбитражного суда Пензенской области от 29.11.2023, оставленным без изменения постановлением Одиннадцатого арбитражного апелляционного суда от 25.01.2024 и постановлением Арбитражного суда Поволжского округа от 17.04.2024, в удовлетворении заявления отказано. Русинова Т.А.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пришли к выводу об отсутствии предусмотренных пунктами 2 и 3 статьи 213.25 Федерального закона от 26.10.2002 № 127-ФЗ «О несостоятельности (банкротстве)», частью 1 статьи 446 Гражданского процессуального кодекса Российской Федерации оснований для исключения спорного автомобиля из конкурсной массы должника, учитывая отсутствие доказательств того, что наличие транспортного средства является необходимым условием трудоустройства супруга должника и доход супруга должника за счет этого имущества позволяет осуществлять наполнение конкурсной массы, иного имущества у должника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