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в процедуре реструктуризации в Арбитражный суд Брянской области обратился финансовый управляющий ФИО1 с заявлением об определении процентов по вознаграждению управляющего в сумме 247 273 рублей 66 копеек. Определением Арбитражного суда Брянской области от 16.10.2023, оставленным без изменения постановлением Двадцатого арбитражного апелляционного суда от 02.02.2024 и постановлением Арбитражного суда Центрального округа от 02.04.2024, ходатайство удовлетворено в части установления процентов по вознаграждению в размере 50 000 рублей.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его заявления,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20.3 , 20.6 , 213.9 , 213.27 Федерального закона от 26.10.2002 № 127-ФЗ «О несостоятельности (банкротстве)», разъяснениями, данными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исходили из того, что исполнение плана реструктуризации долгов гражданина происходило без какого-либо активного участия финансового управляющего, погашение требований кредиторов было обусловлено исключительно действиями самого должника, нашедшего средства для их удовлетворения, доказательства внесения арбитражным управляющим со своей стороны существенного вклада в достижение целей реабилитационной процедуры банкротства, в результате которого финансовое положение должника в значительной мере улучшилось, отсутствуют.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Администрация города Сельцо (подробнее) Ассоциация СРО "Центральное агентство арбитражных управляющих" (подробнее) Отдел ЗАГС Советского района г.Брянска управления ЗАГС Брянской области (подробнее) Сельцовский городской суд (подробнее) Управление ЗАГС Брянской области (подробнее) Управление Росреестра по Брянской области (подробнее) УФНС России по Брянской области (подробнее) УФССП по Брянской области (подробнее) ф/у Голев И.Б. член Ассоциации а/у СРО "Центральное Агентство Арбитражных Управляющих" (подробнее) Юдин Д.И. представитель Артюхова П.А.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