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суда округа от 02.05.2024, на момент обращения заявителя в Верховный Суд Российской Федерации двухмесячный срок, установленный статьей 2912 АПК РФ, истек. 2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Мартыненко Нины Яковлевны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Д. В. Тютин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