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25.05.2022 в отношении Пузанкова М.С. введена процедура реализации имущества гражданина. Петер Ю.С. 25.03.2024 обратилась в Арбитражный суд города Санкт- Петербурга и Ленинградской области с заявлением о передаче дела о банкротстве должника по подсудности в Арбитражный суд Свердловской области. Определением Арбитражного суда города Санкт-Петербурга и Ленинградской области от 12.04.2024 дело передано по подсудности в Арбитражный суд Свердловской области. Постановлением Тринадцатого арбитражного апелляционного суда от 20.05.2024 определение суда первой инстанции отменено, в удовлетворении ходатайства отказано. Пузанков М.С., Савельев С.М., Петер Ю.С., Мякишев Р.В. обратились в Судебную коллегию Верховного Суда Российской Федерации с кассационными 2 жалобами на постановление суда апелляционной инстанции,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Отказывая в удовлетворении заявления о передаче дела по подсудности, суд апелляционной инстанции руководствовался положениями статей 38, 39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того, что дело было принято судом к своему производству с соблюдением правил подсудности. Доводы жалоб не свидетельствуют о неправильном применении судом норм процессуального права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