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обществом заявлено ходатайство о предоставлении отсрочки по уплате государственной пошлины за рассмотрение кассационной жалобы. Условия и порядок предоставления отсрочки уплаты государственной пошлины установлены статьей 102 Арбитражного процессуального кодекса Российской Федерации, статьей 64, пунктом 2 статьи 33322 и пунктом 1 статьи 33341 Налогового кодекса Российской Федерации. В данном случае заявителем представлены доказательства, свидетельствующие о невозможности исполнения обязанности по уплате государственной пошлины за рассмотрение кассационной жалобы, в связи с чем ходатайство об отсрочке уплаты государственной пошлины подлежит удовлетворению. 2 Руководствуясь статьями 184, 185, 2912 Арбитражного процессуального кодекса Российской Федерации, статьями 64, 33322, 33341 Налогового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«Ижевская строительная компания» об отсрочке уплаты государственной пошлины при подаче кассационной жалобы удовлетворить. Предоставить заявителю отсрочку уплаты 3 000 (три тысячи) рублей государственной пошлины при подаче кассационной жалобы до рассмотрения жалобы по существу.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