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«МС-Групп» обратилось в Арбитражный суд Ивановской области с иском о взыскании с ООО «РустаЛогистик» 56 494 рублей 82 копеек убытков, вызванных повреждением груза, принятого к перевозке по договору-заявке от 05.07.2022 № 5368. Решением Арбитражного суда Ивановской области от 23.08.2023, оставленным без изменения постановлением Второго арбитражного апелляционного суда от 30.10.2023 и постановлением Арбитражного суда Волго-Вятского округа от 28.03.2024, иск удовлетворен. ООО «РустаЛогистик»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2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15, 309, 310, 393, 421, 785, 796, 801, 803 Гражданского кодекса Российской Федерации, статей 34, 36 Федерального закона от 08.11.2007 № 259-ФЗ «Устав автомобильного транспорта и городского наземного электрического транспорта», статьей 7 Федерального закона от 30.06.2003 № 87-ФЗ «О транспортно-экспедиционной деятельности», суды пришли к выводу о наличии оснований для взыскания убытков в виде стоимости утраченного груза, учитывая ненадлежащее исполнение ответчиком обязанности по доставке груза.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