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Безрукова Сергея Владимировича в Арбитражный суд Московской области обратился финансовый управляющий с ходатайством об истребовании у должника ряда транспортных средств, паспортов транспортных средств и свидетельств об их регистрации. Определением Арбитражного суда Московской области от 09.10.2023 в удовлетворении ходатайства отказано. Постановлением Десятого арбитражного апелляционного суда от 25.12.2023 определение суда первой инстанции оставлено без изменения. Арбитражный суд Московского округа постановлением от 28.03.2024 указанные судебные акты оставил без изменения. ИП Пузанков Ю.Ю.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требования, суды руководствовались положениями статьи 308.3 Гражданского кодекса Российской Федерации, статьями 213.1, 213.9, 213.25 Федерального закона от 26.10.2002 № 127-ФЗ «О несостоятельности (банкротстве)» и исходили из отсутствия спорного имущества у должника, что исключает возможность его истребования.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