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Голубева Д.О. в Арбитражный суд Московской области обратилось ПАО «Банк Кредит - Москва» в лице конкурсного управляющего ГК «АСВ» с заявлением о включении требования в размере 103 179 814 рублей 59 копеек в реестр требований кредиторов должника как обеспеченного залогом имущества. Определением Арбитражного суда Московской области от 17.08.2023 в удовлетворении заявления отказано. Постановлением Десятого арбитражного апелляционного суда от 06.12.2023 определение суда первой инстанции оставлено без изменения. Арбитражный суд Московского округа постановлением от 03.05.2024 указанные судебные акты отменил и направил обособленный спор на новое рассмотрение в Арбитражный суд Московской области. Голубев Д.О. и финансовый управляющий Тараскина О.А. обратились в Судебную коллегию по экономическим спорам Верховного Суда Российской Федерации с кассационными жалобами на постановление суда округа, ссылаясь на существенные нарушения норм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 не установлено. Отменяя принятые по спору судебные акты и направляя обособленный спор на новое рассмотрение в арбитражный суд первой инстанции, суд округа действовал в пределах полномочий, предусмотренных статьями 287, 288 Арбитражного процессуального кодекса Российской Федерации. Исходя из вышеизложенного,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