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обратилось ПАО «Банк КредитМосква» в лице конкурсного управляющего ГК «АСВ» с заявлением о включении требования в размере 103 179 814 рублей 59 копеек в реестр требований кредиторов должника как обеспеченного залогом имущества. Определением Арбитражного суда Московской области от 17.08.2023 в удовлетворении заявления отказано. Постановлением Десятого арбитражного апелляционного суда от 06.12.2023 определение суда первой инстанции оставлено без изменения. Арбитражный суд Московского округа постановлением от 03.05.2024 указанные судебные акты отменил и направил обособленный спор на новое рассмотрение в Арбитражный суд Московской области. ФИО1 и финансовый управляющий ФИО2 обратились в Судебную коллегию по экономическим спорам Верховного Суда Российской Федерации с кассационными жалобами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Отменяя принятые по спору судебные акты и направляя обособленный спор на новое рассмотрение в арбитражный суд первой инстанции, суд округа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Инспекция Федеральной налоговой службы по г. Сергиеву Посаду Московской области (подробнее) ООО "АЙДИ КОЛЛЕКТ" (подробнее) ООО "НБК" (подробнее) ООО "СПЕЦСНАБ71" (подробнее) ООО "Экспресс кредит" (подробнее) ПАО АКЦИОНЕРНЫЙ КОММЕРЧЕСКИЙ БАНК "КРЕДИТ-МОСКВА" (подробнее) ПАО "Промсвязьбанк"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