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Тихоновой К.А. в Арбитражный суд Томской области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недействительными взаимосвязанных сделок, совершенных в отношении нежилого здания: договора купли-продажи от 28.07.2017, заключенного между Тихоновой К.А. и Тихоновой Т.С.; договора дарения от 28.10.2017, заключенного между Тихоновой Т.С. и Тихоновым В.Д.; договора купли-продажи от 27.07.2021, заключенного между Тихоновым В.Д., 2007 г.р., с согласия своего отца Тихонова Д.А. и Эйрихом Ю.Ф., и применении последствий недействительности сделок. Определением Арбитражного суда Томской области от 26.09.2023 заявление удовлетворено в части, признаны недействительными договоры купли-продажи от 28.07.2017 и дарения от 28.10.2017, применены последствия 2 недействительности сделок в виде взыскания солидарно с Тихоновой Т.С. и Тихонова Д.А. в конкурсную массу должника 2 950 000 рублей; в удовлетворении заявления в остальной части отказано. Постановлением Седьмого арбитражного апелляционного суда от 27.11.2023 определение суда первой инстанции оставлено без изменения. Арбитражный суд Западно-Сибирского округа постановлением от 28.03.2024 указанные судебные акты оставил без изменения. Тихонова К.С., Тихонова Т.С. и Тихонов Д.А. в интересах несовершеннолетнего Тихонова В.Д. обратились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заявление в части, суды исходили из того, что договоры купли-продажи от 28.07.2017 и дарения от 28.10.2017 заключены между заинтересованными лицами, в целях сокрытия имущества от обращения взыскания кредиторов, в связи с чем подлежат признанию недействительными на основании статьи 170 Гражданского кодекса Российской Федерации. Отказывая в признании недействительной последующей сделки, суды признали Эйриха Ю.Ф. добросовестным приобретателем. Установив, что в силу совместных действий Тихоновой Т.С. и Тихонова Д.А., как законного представителя несовершеннолетнего Тихонова В.Д., являющихся выгодоприобретателями единой сделки по выводу актива, причинен вред имущественным интересам кредиторов должника, суд применил последствия недействительности сделок в виде солидарного взыскания с ответчиков в конкурсную массу должника действительной стоимости выбывшего имущества. Довод заявителей о пропуске срока исковой давности приводился при рассмотрении спора и мотивированно отклонен. Доводы, изложенные в 3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