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«Беринг Золото» обратилось в Арбитражный суд Хабаровского края с иском о взыскании с ООО «Дальторг» 11 800 000 рублей штрафа за просрочку доставки груза, 89 712 рублей 33 копеек процентов за неисполнение денежного обязательства, с последующим их начислением по дату фактического исполнения решения суда. Решением Арбитражного суда Хабаровского края от 13.10.2023 в удовлетворении иска отказано. Постановлением Шестого арбитражного апелляционного суда от 28.12.2023 решение суда первой инстанции оставлено без изменения. Арбитражный суд Дальневосточного округа постановлением от 28.03.2024 указанные судебные акты оставил без изменения. ООО «Беринг Золото»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 310 , 407 , 410 , 421 , 781 , 785 , 793 Гражданского кодекса Российской Федерации, статьей 34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установив, что размер ответственности перевозчика за нарушение сроков доставки груза определен условиями договора, признав зачет встречных однородных требований состоявшимся, суды пришли к выводу об отсутствии оснований для удовлетворения иска. Доводы кассационной жалобы являлись предметом рассмотрения судов и получили соответствующую правовую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"Беринг Золото" (подробнее) Ответчики: ООО "Дальторг"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