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25.04.2022 в отношении должника введена процедура реструктуризации долгов, финансовым управляющим утвержден Кобяк П.П. Решением Арбитражного суда города Москвы от 14.09.2023 должник признан несостоятельным (банкротом), в отношении него введена процедура реализации имущества гражданина; финансовым управляющим утвержден Глустенков И.В. Постановлением Девятого арбитражного апелляционного суда от 29.11.2023 решение суда первой инстанции оставлено без изменения. Арбитражный суд Московского округа постановлением от 25.03.2024 указанные судебные акты оставил без изменения. Фальковский А.Л.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должника несостоятельным (банкротом) и вводя процедуру реализации имущества гражданина, суды руководствовались положениями статей 213.3, 213.12, 213.17, 213.24 Федерального закона от 26.10.2002 № 127-ФЗ «О несостоятельности (банкротстве)» и исходили из того, что должник отвечает признакам банкротства, план реструктуризации задолженности в установленный законом срок не представлен. Доводы заявителя жалобы являлись предметом рассмотрения судов апелляционной и кассационной инстанций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