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войсковая часть 5592 Федеральной службы войск национальной гвардии обратилась в Арбитражный суд Ростовской области с иском о взыскании с ОАО «Российские железные дороги» 514 365 рублей 66 копеек пеней за просрочку доставки груза. Решением Арбитражного суда Ростовской области от 11.12.2023, оставленным без изменения постановлением Пятнадцатого арбитражного апелляционного суда от 06.02.2024 и постановлением Арбитражного суда Северо-Кавказского округа от 10.04.2024, иск удовлетворен в части взыскания 150 407 рублей 91 копейки пеней; в удовлетворении иска в остальной части отказано. Войсковая часть 5592 Федеральной службы войск национальной гвардии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2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330, 784, 785, 792, 793 Гражданского кодекса Российской Федерации, статьей 97 Федерального закона от 10.01.2003 № 18-ФЗ «Устав железнодорожного транспорта Российской Федерации», суды пришли к выводу об отсутствии оснований для освобождения дороги (перевозчика) от ответственности за просрочку в доставке грузов (неустойки, исчисляемой в процентах от платы за перевозку грузов), установив при этом основания для применения положений статьи 333 Гражданского кодекса Российской Федерации.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