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02.06.2023 завершена процедура реализации имущества Воинова Владимира Дмитриевича. Кредиторы Масленникова Е.В. и Масленников В.В. обратились в арбитражный суд с жалобой на действия (бездействие) арбитражного управляющего Дюльдина В.В. Определением Арбитражного суда города Москвы от 11.12.2023, оставленным без изменения постановлением Девятого арбитражного апелляционного суда от 28.02.2024 и постановлением Арбитражного суда Московского округа от 16.05.2024, в удовлетворении жалобы отказано. Масленников В.В. и Масленникова Е.В.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 и признавая жалобу необоснованной, суды, руководствуясь статьями 20.3, 20.4, 60, 213.9, 213.25 Федерального закона от 26.10.2002 № 127-ФЗ «О несостоятельности (банкротстве)», исходили из отсутствия установленных обстоятельств несоответствия и противоречия действий (бездействия) управляющего требованиям действующего законодательства, нарушения прав и законных интересов должника и кредиторов, установив, что управляющим приняты необходимые и достаточные меры для достижения целей банкротства. Доводы, изложенные в кассационных жалобах,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