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Франка Даниила Александровича в Арбитражный суд города Москвы обратился финансовый управляющий имуществом должника с заявлением о разрешении разногласий, возникших с Агишевой И.С. (бывшей супругой должника), относительно порядка распределения денежных средств, поступивших от ООО «Управляющая компания «Центр» в сумме 1 932 600 рублей и подлежащих включению в конкурсную массу должника. Определением Арбитражного суда города Москвы от 15.09.2023, оставленным без изменения постановлением Девятого арбитражного апелляционного суда от 05.12.2023 и постановлением Арбитражного суда Московского округа от 27.03.2024, разрешены разногласия и полученные от ООО «Управляющая компания «Центр» денежные средства в сумме 1 932 600 рублей включены в конкурсную массу должника. Агишева И.С.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60, 213.25, 213.26 Федерального закона от 26.10.2002 № 127-ФЗ «О несостоятельности (банкротстве)» и исходили из того, что спорная сумма денежных средств (дебиторская задолженность) является совместно нажитым общим имуществом супругов и подлежит включению в конкурсную массу должника.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