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Бродского К.Л. в Арбитражный суд Сахалинской области обратился финансовый управляющий с ходатайством об истребовании у супруги должника - Бродской Г.В. денежных средств, полученных от реализации находившегося в совместной собственности супругов транспортного средства, в размере 50% от цены реализации - 1 800 000 рублей. Определением Арбитражного суда Сахалинской области от 20.12.2023 заявление финансового управляющего удовлетворено. Постановлением Пятого арбитражного апелляционного суда от 04.03.2024 определение суда первой инстанции оставлено без изменения. Арбитражный суд Дальневосточного округа постановлением от 15.05.2024 указанные судебные акты оставил без изменения. Бродский К.Л.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требование финансового управляющего обоснованным, суды руководствовались статьями 213.25, 213.26 Федерального закона от 26.10.2002 № 127-ФЗ «О несостоятельности (банкротстве)», статьями 34, 45, 46 Семейного кодекса Российской Федерации, разъяснениями, изложенными в пункте 9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установленных вступившим в законную силу судебным актом обстоятельств отчуждения супругой должника совместно нажитого имущества - автомобиля добросовестному покупателю по рыночной цене и отсутствия доказательств передачи должнику вырученных от продажи денежных средств в размере причитающейся доли.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