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02.06.2023 завершена процедура реализации имущества ФИО3. Кредиторы ФИО2 и ФИО1 обратились в арбитражный суд с жалобой на действия (бездействие) арбитражного управляющего ФИО4 Определением Арбитражного суда города Москвы от 11.12.2023, оставленным без изменения постановлением Девятого арбитражного апелляционного суда от 28.02.2024 и постановлением Арбитражного суда Московского округа от 16.05.2024, в удовлетворении жалобы отказано. ФИО1 и ФИО2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 и признавая жалобу необоснованной, суды, руководствуясь статьями 20.3, 20.4, 60, 213.9, 213.25 Федерального закона от 26.10.2002 № 127-ФЗ «О несостоятельности (банкротстве)», исходили из отсутствия установленных обстоятельств несоответствия и противоречия действий (бездействия) управляющего требованиям действующего законодательства, нарушения прав и законных интересов должника и кредиторов, установив, что управляющим приняты необходимые и достаточные меры для достижения целей банкротства. Доводы, изложенные в кассационных жалобах,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"Газпромбанк" (подробнее) АСгМ (подробнее) Ассоциация МСО ПАУ (подробнее) МИФНС 11 по Ленинградской области (подробнее) МИФНС 12 по Саратовской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