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министерством (заказчик) и обществом (исполнитель) 18.03.1993 заключен государственный контракт № 9318187309531010128000872/11/93 на выполнение опытно-конструкторских работ. В установленные контрактом сроки работы по этапам контракта № 44.6.1, 45.4 и 44.7.2 исполнителем не выполнены и заказчику не сданы, в связи с чем в соответствии с условиями контракта исполнителю начислена неустойка в общем размере 17 721 018 рублей 80 копеек. Неисполнение обществом претензий об оплате неустойки по указанным этапам контракта послужило основанием для обращения министерства в арбитражный суд. Решением Арбитражного суда города Москвы от 30.06.2023 в удовлетворении иска отказано. 2 Постановлением Девятого арбитражного апелляционного суда от 03.10.2023, оставленным без изменения постановлением Арбитражного суда Московского округа от 12.02.2024, решение Арбитражного суда города Москвы от 30.06.2023 изменено, с общества в пользу министерства взыскана неустойка в сумме 7 822 226 рублей 83 копейки. Не согласившись с постановлением суда апелляционной инстанции и постановлением суда округа в части взыскания неустойки по этапу № 44.7.2, общество обратилось в Верховный Суд Российской Федерации с кассационной жалобой, в которой, ссылаясь на существенное нарушение судами норм права, ставит вопрос об их отмене, оставлении в силе решения суда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Отказывая в удовлетворении требования о взыскании с общества неустойки по этапу № 44.7.2, суд первой инстанции, руководствуясь положениями статей 401, 405, 720, 777 Гражданского кодекса Российской Федерации (далее – Гражданский кодекс), пунктом 2 Правил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утвержденных постановлением Правительства Российской Федерации от 04.07.2018 № 783 (далее – Правила № 783), исходил из доказанности обществом того, что условия государственного контракта выполнялись им в установленном объеме, вина в нарушении сроков выполнения работ в рамках этапа 44.7.2 отсутствует, предприняты все меры для надлежащего исполнения обязательств по контракту. Суд указал, что с учетом цены государственного контракта общая сумма начисленных и неуплаченных пени в размере 17 721 018 рублей 80 копеек не превышает 5 процентов цены государственного контракта. Изменяя решение суда и взыскивая с общества неустойку по этапу № 44.7.2 в сумме 7 822 226 рублей 83 копеек, суд апелляционной инстанции исходил из отсутствия обстоятельств, позволяющих списать начисленную неустойку на основании Правил № 783. Судом отмечено, что срок выполнения спорных работ истек, обязательства по контракту в полном объеме не исполнены, доказательств обратного в материалы дела не представлено. 3 Кроме того, обществом не представлено доказательств наступления обстоятельств непреодолимой силы, либо обстоятельств, повлекших невозможность исполнения контракта в связи с существенным увеличением цен на строительные ресурсы, мобилизацией в Российской Федерации, введением санкций и иных мер ограничительного характера. Сама по себе ссылка на принятые ограничительные меры не является основанием для освобождения от ответственности за неисполнение обязательств. Правом на приостановление спорных работ либо на увеличение сроков их выполнения исполнитель не воспользовался. Доказательств несоразмерности заявленной неустойки не представил, ввиду чего оснований для снижения ее размера апелляционным судом не установлено. Суд округа поддержал выводы суда апелляционной инстанции. Выражая несогласие с выводами судов апелляционной инстанции и округа, общество в кассационной жалобе ссылается на нерассмотрение судами вопроса о применении к спорным правоотношениям положений, установленных постановлением Правительства Российской Федерации от 03.04.2020 № 428 «О введении моратория на возбуждение дел о банкротстве по заявлению кредиторов в отношении отдельных должников», отмечая, что данные положения носят обязательный характер и подлежат применению судом при расчете сумм, предъявленных к взысканию, независимо от заявления стороны по делу. По мнению заявителя, судами в нарушение процессуальных норм не дана оценка доводам и представленным ответчиком доказательствам.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«Ракетно-космический центр «Прогресс»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