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Поповой Елены Аркадьевны в Арбитражный суд Московской области обратился финансовый управляющий ее имуществом с заявлением о признании недействительными договоров дарения нежилых помещений от 11.09.2018, заключенных между должником и Поповой О.Ф., и применении последствий недействительности сделок. Определением Арбитражного суда Московской области от 29.08.2023 в удовлетворении заявления отказано. Постановлением Десятого арбитражного апелляционного суда от 18.12.2023 определение суда первой инстанции отменено, признаны недействительными договоры дарения нежилых помещений. Арбитражный суд Московского округа постановлением от 28.03.2024 отменил постановление суда апелляционной инстанции в части отказа в применении последствий недействительности сделок и в отмененной части обособленный спор направил на новое рассмотрение в Десятый арбитражный 2 апелляционный суд; в остальной части постановление апелляционного суда оставил без изменения. Попова О.Ф. и финансовый управляющий ее имуществом Косопалов В.В. обратились в Судебную коллегию Верховного Суда Российской Федерации с кассационными жалобами на постановления суда апелляционной инстанции и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Разрешая спор, суд апелляционной инстанции, с выводами которого согласился окружной суд, руководствовался положениями статей 10, 168 Гражданского кодекса Российской Федерации и, учитывая ничтожность договоров дарения этих же нежилых помещений, заключенных между Поповым А.В. (отцом) и Поповой Е.А (дочерью), установленную вступившим в законную силу судебным актом в рамках дела о банкротстве отца, пришел к выводу, что и последующие оспариваемые договоры дарения совершены с противоправной целью, при искусственном создании формального основания (смена титульного владельца), для вывода из собственности семьи, в том числе и должника, ликвидного имущества во избежание обращения на него взыскания по требованиям кредиторов, в нарушение прав и законных интересов последних. Направляя спор в части последствий недействительности сделок на новое рассмотрение в суд апелляционной инстанции с целью установления обстоятельств, имеющих значение для правильного разрешения спора, полного и всестороннего исследования и оценки представленных доказательств, окружной суд действовал в пределах полномочий, предусмотренных статьями 287, 288 Арбитражного процессуального кодекса Российской Федерации. Доводы жалоб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