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21.12.2023 применены правила параграфа 4 главы Х Федерального закона от 26.10.2002 № 127-ФЗ «О несостоятельности (банкротстве)», умерший гражданин Мягких В.И. признан несостоятельным (банкротом), введена процедура реализации имущества. Постановлением Шестнадцатого арбитражного апелляционного суда от 26.02.2024 решение суда первой инстанции оставлено без изменения. Арбитражный суд Северо-Кавказского округа постановлением от 19.04.2024 указанные судебные акты оставил без изменения. Мягких А.В.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принятии судебных актов суды руководствовались положениями пунктов 1, 4 статьи 223.1 Закона о банкротстве и исходили из того, что наследник должника вправе инициировать производство по настоящему делу, требование Мягких Е.А. соответствует условиям, установленным пунктом 2 статьи 213.3 Закона о банкротстве, и подтверждено вступившими в законную силу судебными актами. Обстоятельства погашения задолженности подлежат разрешению в рамках возбужденной процедуры банкротства, обоснованность требования о включении в реестр задолженности по уплате просроченных процентов подлежит оценке в рамках рассмотрения обособленного спора. Доводы кассационной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