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22.06.2023 реализация имущества Кузнецова А.Н. завершена с неприменением в отношении должника правил об освобождении от дальнейшего исполнения обязательств перед кредиторами. Кузнецов А.Н. обратился в Девятый арбитражный апелляционный суд с апелляционной жалобой на указанный судебный акт, заявив ходатайство о восстановлении пропущенного процессуального срока. Определением Девятого арбитражного апелляционного суда от 25.01.2024 производство по апелляционной жалобе Кузнецова А.Н. прекращено применительно к пункту 1 части 1 статьи 150 Арбитражного процессуального кодекса Российской Федерации в связи с отказом в восстановлении пропущенного процессуального срока. Арбитражный суд Московского округа постановлением от 26.03.2024 определение суда апелляционной инстанции оставил без изменения. Кузнецов А.Н.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учитывая надлежащее извещение должника о рассмотрении дела, что послужило основанием для прекращения производства по жалобе.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