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ПАО «Банк ВТБ» обратилось в Арбитражный суд Липецкой области с заявлением о признании Пригоркиной В.И. несостоятельной (банкротом). Определением Арбитражного суда Липецкой области от 06.07.2023 заявление банка признано обоснованным, в отношении Пригоркиной В.И. введена процедура реструктуризации долгов гражданина, с включением в третью очередь реестра требований кредиторов должника задолженности в сумме 1 591 675 рублей 22 копеек. Дополнительным определением Арбитражного суда Липецкой области от 28.07.2023 указанное требование банка включено в третью очередь реестра требований кредиторов должника как обеспеченное залогом имущества должника – зданием станции технического обслуживания тракторов; в обеспечении исполнения обязательства залогом квартиры отказано. Постановлением Девятнадцатого арбитражного апелляционного суда от 16.11.2023 определение суда первой инстанции от 28.07.2023 оставлено без изменения. Арбитражный суд Центрального округа постановлением от 21.03.2024 указанные судебные акты отменил в обжалуемой части и учел требование ПАО «Банк ВТБ» в сумме 1 591 675 рублей 22 копеек как обеспеченное залогом, в том числе квартиры. 2 Пригоркина В.И. обратилась в Судебную коллегию Верховного Суда Российской Федерации с кассационной жалобой на постановление окружного суда, ссылаясь на существенные нарушения норм права.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обжалуемого судебного акта в кассационном порядке по доводам жалобы не установлено. Разрешая спор в обжалуемой части и признавая требование кредитора залоговым, в том числе в отношении квартиры, окружной суд руководствовался положениями статей 329, 334, 337, 339, 348 Гражданского кодекса Российской Федерации, статьей 50 Федерального закона «Об ипотеке (залоге недвижимости)» и исходил из установленного факта возникновения залога, проанализировав основания возникновения залога, а также проверив, что данное право не прекратилось и заложенное имущество имеется у должника в натуре. Доводы, изложенные в кассационной жалобе,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судебного акта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