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19.09.2023 солидарно к субсидиарной ответственности по обязательствам должника привлечены, в том числе, Воробьев Е.М. и Филатов С.П., с них взыскано 11 929 771 рубль 45 копеек. Постановлениями Девятого арбитражного апелляционного суда от 22.12.2023 и Арбитражного суда Московского округа от 20.03.2024 определение суда первой инстанции оставлено без изменения. Воробьев Е.М. и Филатов С.П. обратились в Верховный Суд Российской Федерации с кассационными жалобами, в которых просят указанные судебные акты отменить.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Таких оснований по результатам изучения судебных актов, принятых по делу, и доводов кассационных жалоб не установлено. Разрешая требования, предъявленные к Воробьеву Е.М. и Филатову С.П., суды руководствовались положениями статей 61.10, 61.11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 исходили из наличия оснований для привлечения указанных лиц к субсидиарной ответственности ввиду совершения ряда сделок, приведших к фактическому прекращению хозяйственной деятельности и выводу активов должника. Изложенные в кассационных жалобах доводы не свидетельствуют о наличии существенных нарушений норм материального права и (или) процессуального права и не могут служить достаточными основаниями для отмены обжалуемых судебных актов. Руководствуясь статьей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