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отказывая в удовлетворении иска, суды первой и апелляционной инстанций исходили из недоказанности факта наличия убытков применительно к положениям статьи 15 Гражданского кодекса Российской Федерации, а также умышленных действий контролирующего должника лица, в результате которых общество с ограниченной ответственностью «Гудман-ВЭД» (далее – общество, должник) не могло оплатить налоговую задолженность. Кроме того, суды указали на неправомерное предъявление убытков в сумме, превышающей сумму требований, предъявленных налоговым органом в рамках дела о банкротстве общества. Суд кассационной инстанции счел выводы судов ошибочными. Отменяя принятые по делу судебные акты, суд округа пришел к выводу о том, что выявленные в ходе налоговой проверки обстоятельства свидетельствуют о наличии причинно-следственной связи между действиями Гасюка А.В. как руководителя должника и невозможностью исполнения обществом обязательств по уплате налоговых платежей (как доначисленных в результате выездной налоговой проверки, так и по представленным обществом декларациям), при том, что правомерность выводов выездной налоговой проверки подтверждена вступившими в законную силу судебными актами по делу № А51-12343/2019 и в силу статьи 16 Арбитражного процессуального кодекса Российской Федерации не требует повторного доказывания. 2 При этом, суд не усмотрел оснований для удовлетворения иска о взыскании убытков, начисленных обществу по результатам выездной налоговой проверки, поскольку взыскание производится в пользу предъявившего требование уполномоченного органа в размере причиненных должнику убытков, но не более суммы требования, установленного в рамках прекращенного дела о банкротстве, либо требования уполномоченного органа, указанного в возвращенном ему заявлении о признании должника банкротом, а также убытков, составляющих сумму штрафных санкций с учетом правовой позиции Конституционного Суда Российской Федерации, изложенной в постановлении от 30.10.2023 № 50-П.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Гасюку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