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Исследовав и оценив представленные в материалы дела доказательства, суд первой инстанции, руководствуясь положениями Федерального закона от 02.10.2007 № 229-ФЗ «Об исполнительном производстве», учитывая разъяснения, изложенные в пункте 75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 и пункте 31 Информационного письма Президиума Высшего Арбитражного Суда Российской Федерации от 21.06.2004 № 77 «Обзор практики рассмотрения дел, связанных с исполнением судебными приставами-исполнителями судебных актов арбитражных судов», пришел к выводу об отсутствии оснований для удовлетворения требований общества об освобождении от взыскания исполнительского сбора. Вместе с тем, принимая во внимание обстоятельства дела, суд посчитал возможным уменьшить размер подлежащего взысканию с должника исполнительского сбора. Суды апелляционной инстанции и округа поддержали выводы суда первой инстанции. Доводы кассационной жалобы не подтверждают наличие оснований, 2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«Строительно-Монтажное Управление № 6 Метростроя»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