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Рябова В.В. в Арбитражный суд Московской области обратился финансовый управляющий с заявлением о признании недействительными сделок в виде регистрации права собственности Торбик Н.А. на объекты недвижимости. Определением Арбитражного суда Московской области от 04.10.2023 в удовлетворении заявления отказано. Постановлением Десятого арбитражного апелляционного суда от 30.11.2023 определение суда первой инстанции оставлено без изменения. Арбитражный суд Московского округа постановлением от 18.03.2024 указанные судебные акты отменил и направил обособленный спор на новое рассмотрение в Арбитражный суд Московской области. Рябов В.В. и Торбик Н.А. обратились в Судебную коллегию по экономическим спорам Верховного Суда Российской Федерации с кассационными жалобами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