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Молдаванова Александра Викторовича определением Арбитражного суда Московской области от 03.10.2023 удовлетворено заявление ООО «СК Синергия» о процессуальном правопреемстве кредитора АО ЛК «Роделен» в реестре требований кредиторов должника. Постановлением Десятого арбитражного апелляционного суда от 05.12.2023 определение суда первой инстанции оставлено без изменения. Арбитражный суд Московского округа постановлением от 28.03.2024 указанные судебные акты оставил без изменения. АО «Первоуральскбанк»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замене кредитора, суды руководствовались положениями статьи 48 Арбитражного процессуального кодекса Российской Федерации, статьями 382, 384, 388 Гражданского кодекса Российской Федерации и исходили из возмездного характера заключенных договоров уступки прав требования и наличия достаточных доказательств, подтверждающих факт перехода к ООО «СК Синергия» прав требования к должнику, не установив злоупотребления правом при заключении договора уступки, признав цессионария добросовестным приобретателем. Доводы, изложенные в кассационной жалобе,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