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«Феско интегрированный транспорт» обратилось в Арбитражный суд города Москвы с иском о взыскании с ООО «Приангарский лесоперерабатывающий комплекс» 1 313 400 рублей расходов за сверхнормативное хранение контейнеров в порту. Решением Арбитражного суда города Москвы от 01.12.2023, оставленным без изменения постановлением Девятого арбитражного апелляционного суда от 14.02.2024 и постановлением Арбитражного суда Московского округа от 02.05.2024, иск удовлетворен. ООО «Приангарский лесоперерабатывающий комплекс»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309, 310, 401, 781, 793, 801 Гражданского кодекса Российской Федерации, положениями Федерального закона от 30.06.2003 № 87-ФЗ «О транспортно-экспедиционной деятельности» и, исследовав и оценив по правилам статьи 71 Арбитражного процессуального кодекса Российской Федерации представленные доказательства, пришли к выводу о доказанности возникновения у истца (экспедитора) дополнительных расходов в части хранения груза, понесенных в интересах ответчика (клиента) по причинам, не зависящим от истца.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