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обратился в Арбитражный суд Самарской области с заявлением о признании ФИО1 несостоятельным (банкротом). Определением Арбитражного суда Самарской области от 11.10.2023, оставленным без изменения постановлением Одиннадцатого арбитражного апелляционного суда от 06.12.2023 и постановлением Арбитражного суда Поволжского округа от 13.03.2024, заявление признано обоснованным; в отношении должника введена процедура реструктуризации долгов гражданина; требование ФИО2 в размере 2 485 918 рублей 71 копейки включено в третью очередь реестра требований кредиторов должника.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положениями статей 33 , 213.3 , 213.5 , 213.6 Федерального закона от 26.10.2002 № 127-ФЗ «О несостоятельности (банкротстве)» и исходили из обоснованности заявления кредитора о признании должника банкротом, учитывая, что требование кредитора подтверждено вступившим в законную силу судебным актом, условиями кредитного договора, не удовлетворено должником на момент рассмотрения дела в арбитражном суде, доказана неплатежеспособность должника, и определили размер задолженности, процентов и штрафов с учетом трехлетнего срока исковой давности.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Росреестр (подробнее) Саморегулируемая межрегиональная "Ассоциация антикризисных управляющих" (подробнее) УФНС (подробнее) УФССП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