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Кушпова В.А. определением Арбитражного суда города Москвы от 28.09.2023, оставленным без изменения постановлением Девятого арбитражного апелляционного суда от 01.12.2023 и постановлением Арбитражного суда Московского округа от 29.03.2024, требование Самсоновой О.А. в размере 849 625 рублей 17 копеек задолженности по алиментам включено в первую очередь реестра требований кредиторов должника, в размере 2 470 279 рублей 73 копеек неустойки – в третью очередь отдельно после погашения основной задолженности и причитающихся процентов; в остальной части производство по заявлению прекращено. Кушпов В.А. обратился в Судебную коллегию Верховного Суда Российской Федерации с кассационной жалобой на принятые по спору судебные акты в части включения в реестр требований кредиторов должника неустойки,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части неустойки, суды руководствовались статьями 71, 100, 142 Федерального закона от 26.10.2002 № 127-ФЗ «О несостоятельности (банкротстве)» и исходили из ненадлежащего исполнения должником обязанности по уплате алиментов, признав начальный период начисления неустойки обоснованным.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