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Барискин А.П. обратился в Арбитражный суд города Москвы с жалобой на действия (бездействие) конкурсного управляющего должником Винникова Ф.Ф. Определением Арбитражного суда города Москвы от 16.10.2023 в удовлетворении жалобы отказано. Постановлениями Девятого арбитражного апелляционного суда от 22.01.2024 и Арбитражного суда Московского округа от 09.04.2024 определение суда первой инстанции оставлено без изменения. Должник и Барискин А.П. обратились в Верховный Суд Российской Федерации с кассационной жалобой, в которой просят указанные судебные акты отменить.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деятельности. Таких оснований по результатам изучения судебных актов, принятых по делу, и доводов кассационной жалобы не установлено. Разрешая спор, суды первой и апелляционной инстанций руководствовались положениями статей 20.3, 60, 129 Федерального закона от 26.10.2002 № 127-ФЗ «О несостоятельности (банкротстве)» и исходили из отсутствия доказательств того, что вменяемые конкурсному управляющему Винникову Ф.Ф. действия (бездействие) привели к реальному нарушению прав заявителей либо кредиторов должника. С данными выводами согласился окружной суд. Изложенные в кассационной жалобе доводы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