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Арбитражный суд Воронежской области с заявлением о признании недействительными операций по перечислению должником 3 226 381 рубля 98 копеек Масликову М.А. и применении последствий их недействительности. Определением Арбитражного суда Воронежской области от 10.08.2023, оставленным без изменения постановлением Девятнадцатого арбитражного апелляционного суда от 27.11.2023, в удовлетворении заявления отказано. Постановлением Арбитражного суда Центрального округа от 16.04.2024 судебные акты отменены, обособленный спор направлен на новое рассмотрение в суд первой инстанции. ФИО1 обратился в Верховный Суд Российской Федерации с кассационной жалобой, в которой просит отменить постановление окружного суда и оставить в силе судебные акты судов первой и апелляционной инстанций.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по результатам изучения судебных актов, принятых по делу, и доводов кассационной жалобы не установлено. Отменяя судебные акты судов первой и апелляционной инстанций, суд округа указал на необходимость оценки всех доводов, заявленных участниками дела, и установления обстоятельств, имеющих существенное значение для его правильного разрешения. Оспариваемое ФИО1 постановление вынесено в пределах предоставленных окружному суду полномочий. Податель жалобы не лишен возможности изложить свои доводы со ссылками на нормы права и имеющиеся в деле доказательства при новом рассмотрении дела. Руководствуясь статьей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ФИО2 Суд: Верховный Суд РФ (подробнее) Истцы: ИП Лобанова Оксана Ивановна (подробнее) ИП Хачикян Оганес Араевич (подробнее) ООО "Доринвест-плюс" (подробнее) ООО "Компания Энкор" (подробнее) ООО "Мотор" (подробнее) ООО "Погрузчик-36" (подробнее) ООО "Региональная торговая компания" (подробнее) ООО УСК "Спецстальтехмонаж" (подробнее) Союз "СРО АУ "Стратегия" (подробнее) Ответчики: ООО "Аксиос Инвест" (подробнее) Иные лица: Воронежское городское "Казачий Присуд" (подробнее) ООО "Бетон СТАР плюс" (подробнее) ООО СК "Развитие-М" (подробнее) ООО "Формула" (подробнее) ФНС России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