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Барискин А.П. обратился в Арбитражный суд города Москвы с жалобой на действия (бездействие) конкурсного управляющего должником Косопалова В.В. Определением Арбитражного суда города Москвы от 16.10.2023 в удовлетворении жалобы отказано. Постановлениями Девятого арбитражного апелляционного суда от 13.12.2023 и Арбитражного суда Московского округа от 13.03.2024 определение суда первой инстанции оставлено без изменения. Должник и Барискин А.П. обратились в Верховный Суд Российской Федерации с кассационной жалобой, в которой просят указанные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Разрешая спор, суды первой и апелляционной инстанций руководствовались положениями статей 20.3, 60, 129 Федерального закона от 26.10.2002 № 127-ФЗ «О несостоятельности (банкротстве)» и исходили из отсутствия доказательств того, что вменяемые конкурсному управляющему Косопалову В.В. действия (бездействие) привели к реальному нарушению прав заявителей либо кредиторов должника. С данными выводами согласился окружной суд.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