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отсутствие сведений о том, что суд общей юрисдикции отказался рассматривать указанный спор из-за отсутствия компетенции, у заявителя имеется возможность реализовать гарантированное статьей 46 Конституции Российской Федерации право на судебную защиту.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Баханову Дмитрию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