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14.05.2024 обратился в Верховный Суд Российской Федерации с кассационной жалобой, одновременно заявив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Оценив приведенные заявителем причины пропуска процессуального срока, судья признает их уважительными. Поскольку ходатайство о восстановлении пропущенного процессуального срока заявлено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 184 , 185 ,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«Фьюэл сервис компани» удовлетворить, пропущенный срок на подачу кассационной жалобы восстановить. Судья Верховного Суда Российской Федерации А.Г. Першутов Суд: Верховный Суд РФ (подробнее) Истцы: ООО "Горизонт" (подробнее) Ответчики: ООО "ФЬЮЭЛ СЕРВИС КОМПАНИ" (подробнее) Иные лица: АНО "Лаборатория Экспертных Исследований "Центральный офис" (подробнее) Инспекции Федеральной налоговой службы №26 по г. Москве (подробнее) ИНСПЕКЦИИ ФЕДЕРАЛЬНОЙ НАЛОГОВОЙ СЛУЖБЫ №3 ПО Г. МОСКВЕ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