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22.09.2023 заявление конкурсного управляющего Золотухина А.С. об установлении стимулирующей части вознаграждения за погашение требований кредиторов удовлетворено; установлена стимулирующая часть вознаграждения в размере 86 283 918 рублей 55 копеек; удовлетворено заявление общества с ограниченной ответственностью «Альфастрой» о намерении погасить требования кредиторов к должнику в полном объеме. Постановлением Девятого арбитражного апелляционного суда от 12.01.2024 определение суда первой инстанции изменено в части установления стимулирующей части вознаграждения арбитражного управляющего; установлена стимулирующая часть вознаграждения конкурсного управляющего Золотухина А.С. в размере 14 380 653 рублей 10 копеек; в остальной части определение оставлено без изменения. Постановлением Арбитражного суда Московского округа от 05.04.2024 постановление апелляционного суда оставлено без изменения. Золотухин А.С. обратился в Верховный Суд Российской Федерации с кассационной жалобой, в которой просит отменить постановления судов апелляционной инстанции и округа, оставив в силе определение суда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Снижая размер стимулирующего вознаграждения конкурсного управляющего, суд апелляционной инстанции, повторно оценив представленные доказательства по правилам главы 7 Арбитражного процессуального кодекса Российской Федерации, руководствовался положениями статьи 20.6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 из того, что положительный результат в споре о взыскании убытков с Рябоконя Д.В. достигнут совместными действиями как арбитражного управляющего, так и налогового органа, отметив значительный вклад последнего в доказывание вины Рябоконя Д.В. при установлении обстоятельств совершения должником налогового правонарушения. С данными выводами согласился окружной суд. Изложенные в кассационной жалобе доводы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