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Пивоваровой Е.И. в Арбитражный суд города Москвы обратилось ООО «Эльтон» с заявлением, уточненным в порядке статьи 49 Арбитражного процессуального кодекса Российской Федерации, о включении задолженности в размере 2 113 461 рубля 05 копеек в третью очередь реестра требований кредиторов должника. Определением Арбитражного суда города Москвы от 20.10.2023 заявление удовлетворено. Постановлением Девятого арбитражного апелляционного суда от 27.12.2023 определение суда первой инстанции оставлено без изменения. Арбитражный суд Московского округа постановлением от 27.03.2024 указанные судебные акты оставил без изменения. Пивоварова Е.И.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100, 213.24 Федерального закона от 26.10.2002 № 127-ФЗ «О несостоятельности (банкротстве)», статьями 309, 310, 395, 1107 Гражданского кодекса Российской Федерации, учли наличие вступившего в законную силу судебного акта о признании недействительными договоров займа и применении последствий недействительности сделок, включение реституционного требования в реестр требований кредиторов должника и признали требование об уплате процентов за пользование чужими денежными средствами обоснованным и подлежащим включению в третью очередь реестра требований кредиторов должника. Возражения заявителя о периоде начисления процентов мотивированно отклонены судом кассационной инстанции с указанием на фактические обстоятельства, установленные при рассмотрении спора о признании недействительными договоров займа.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